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79CC02" w14:textId="77777777" w:rsidR="007A3E5C" w:rsidRPr="00E20DC5" w:rsidRDefault="007A3E5C" w:rsidP="007A3E5C">
      <w:pPr>
        <w:bidi/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A3E5C" w14:paraId="22184E5E" w14:textId="77777777" w:rsidTr="005371F1">
        <w:tc>
          <w:tcPr>
            <w:tcW w:w="9355" w:type="dxa"/>
            <w:shd w:val="clear" w:color="auto" w:fill="C6D9F1" w:themeFill="text2" w:themeFillTint="33"/>
          </w:tcPr>
          <w:p w14:paraId="10943DEC" w14:textId="77777777" w:rsidR="007A3E5C" w:rsidRPr="00477F64" w:rsidRDefault="007A3E5C" w:rsidP="005371F1">
            <w:pPr>
              <w:pStyle w:val="TableHeading"/>
              <w:bidi/>
              <w:rPr>
                <w:rStyle w:val="fontstyle01"/>
              </w:rPr>
            </w:pPr>
            <w:bookmarkStart w:id="0" w:name="_Hlk31636344"/>
            <w:r>
              <w:rPr>
                <w:rtl/>
                <w:lang w:eastAsia="ar"/>
              </w:rPr>
              <w:t xml:space="preserve">مركبات الدفع الرباعي 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– </w:t>
            </w:r>
            <w:r>
              <w:rPr>
                <w:rtl/>
                <w:lang w:eastAsia="ar"/>
              </w:rPr>
              <w:t xml:space="preserve">نوع الخدمة أ 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– </w:t>
            </w:r>
            <w:r>
              <w:rPr>
                <w:rtl/>
                <w:lang w:eastAsia="ar"/>
              </w:rPr>
              <w:t xml:space="preserve">كل </w:t>
            </w:r>
            <w:r>
              <w:rPr>
                <w:rFonts w:ascii="Times New Roman"/>
                <w:b w:val="0"/>
                <w:rtl/>
                <w:lang w:eastAsia="ar"/>
              </w:rPr>
              <w:t>10</w:t>
            </w:r>
            <w:r>
              <w:rPr>
                <w:rtl/>
                <w:lang w:eastAsia="ar"/>
              </w:rPr>
              <w:t>,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000 </w:t>
            </w:r>
            <w:r>
              <w:rPr>
                <w:rtl/>
                <w:lang w:eastAsia="ar"/>
              </w:rPr>
              <w:t>كم</w:t>
            </w:r>
          </w:p>
        </w:tc>
      </w:tr>
      <w:tr w:rsidR="007A3E5C" w14:paraId="5A1B63DC" w14:textId="77777777" w:rsidTr="005371F1">
        <w:tc>
          <w:tcPr>
            <w:tcW w:w="9355" w:type="dxa"/>
          </w:tcPr>
          <w:p w14:paraId="19833881" w14:textId="77777777" w:rsidR="007A3E5C" w:rsidRPr="00477F64" w:rsidRDefault="007A3E5C" w:rsidP="005371F1">
            <w:pPr>
              <w:pStyle w:val="1NumBul"/>
              <w:bidi/>
            </w:pPr>
            <w:bookmarkStart w:id="1" w:name="_Hlk31636462"/>
            <w:bookmarkEnd w:id="0"/>
            <w:r w:rsidRPr="00477F64">
              <w:rPr>
                <w:rStyle w:val="fontstyle01"/>
                <w:rtl/>
                <w:lang w:eastAsia="ar"/>
              </w:rPr>
              <w:t>تغيير زيت المحرك وعنصر فلتر الزيت</w:t>
            </w:r>
          </w:p>
        </w:tc>
      </w:tr>
      <w:tr w:rsidR="007A3E5C" w14:paraId="1E49DD0C" w14:textId="77777777" w:rsidTr="005371F1">
        <w:tc>
          <w:tcPr>
            <w:tcW w:w="9355" w:type="dxa"/>
          </w:tcPr>
          <w:p w14:paraId="67D2D532" w14:textId="77777777" w:rsidR="007A3E5C" w:rsidRPr="00477F64" w:rsidRDefault="007A3E5C" w:rsidP="005371F1">
            <w:pPr>
              <w:pStyle w:val="1NumBul"/>
              <w:bidi/>
            </w:pPr>
            <w:r w:rsidRPr="00477F64">
              <w:rPr>
                <w:rtl/>
                <w:lang w:eastAsia="ar"/>
              </w:rPr>
              <w:t>تنظيف غطاء فلتر الزيت ومتنفس علبة المرفق</w:t>
            </w:r>
          </w:p>
        </w:tc>
      </w:tr>
      <w:tr w:rsidR="007A3E5C" w14:paraId="4A588111" w14:textId="77777777" w:rsidTr="005371F1">
        <w:tc>
          <w:tcPr>
            <w:tcW w:w="9355" w:type="dxa"/>
          </w:tcPr>
          <w:p w14:paraId="12B1CED5" w14:textId="77777777" w:rsidR="007A3E5C" w:rsidRPr="00477F64" w:rsidRDefault="007A3E5C" w:rsidP="005371F1">
            <w:pPr>
              <w:pStyle w:val="1NumBul"/>
              <w:bidi/>
            </w:pPr>
            <w:r w:rsidRPr="00477F64">
              <w:rPr>
                <w:rtl/>
                <w:lang w:eastAsia="ar"/>
              </w:rPr>
              <w:t>تنظيف عنصر تنقية الهواء وتجديد زيت تنقية الهواء</w:t>
            </w:r>
          </w:p>
        </w:tc>
      </w:tr>
      <w:tr w:rsidR="007A3E5C" w14:paraId="30C86801" w14:textId="77777777" w:rsidTr="005371F1">
        <w:tc>
          <w:tcPr>
            <w:tcW w:w="9355" w:type="dxa"/>
          </w:tcPr>
          <w:p w14:paraId="405C5227" w14:textId="77777777" w:rsidR="007A3E5C" w:rsidRPr="00477F64" w:rsidRDefault="007A3E5C" w:rsidP="005371F1">
            <w:pPr>
              <w:pStyle w:val="1NumBul"/>
              <w:bidi/>
            </w:pPr>
            <w:r w:rsidRPr="00477F64">
              <w:rPr>
                <w:rtl/>
                <w:lang w:eastAsia="ar"/>
              </w:rPr>
              <w:t>تنظيف وعاء رواسب الوقود</w:t>
            </w:r>
          </w:p>
        </w:tc>
      </w:tr>
      <w:tr w:rsidR="007A3E5C" w14:paraId="32D8F3A3" w14:textId="77777777" w:rsidTr="005371F1">
        <w:tc>
          <w:tcPr>
            <w:tcW w:w="9355" w:type="dxa"/>
          </w:tcPr>
          <w:p w14:paraId="134AACEE" w14:textId="77777777" w:rsidR="007A3E5C" w:rsidRPr="00477F64" w:rsidRDefault="007A3E5C" w:rsidP="005371F1">
            <w:pPr>
              <w:pStyle w:val="1NumBul"/>
              <w:bidi/>
            </w:pPr>
            <w:r w:rsidRPr="00477F64">
              <w:rPr>
                <w:rtl/>
                <w:lang w:eastAsia="ar"/>
              </w:rPr>
              <w:t xml:space="preserve">تنظيف نقاط قاطع التلامس وإعادة ضبطها </w:t>
            </w:r>
            <w:r w:rsidRPr="00477F64">
              <w:rPr>
                <w:rFonts w:ascii="Times New Roman"/>
                <w:rtl/>
                <w:lang w:eastAsia="ar"/>
              </w:rPr>
              <w:t>(</w:t>
            </w:r>
            <w:r w:rsidRPr="00477F64">
              <w:rPr>
                <w:rtl/>
                <w:lang w:eastAsia="ar"/>
              </w:rPr>
              <w:t>محرّك يعمل بالبنزين</w:t>
            </w:r>
            <w:r w:rsidRPr="00477F64">
              <w:rPr>
                <w:rFonts w:ascii="Times New Roman"/>
                <w:rtl/>
                <w:lang w:eastAsia="ar"/>
              </w:rPr>
              <w:t>)</w:t>
            </w:r>
          </w:p>
        </w:tc>
      </w:tr>
      <w:tr w:rsidR="007A3E5C" w14:paraId="6565BACF" w14:textId="77777777" w:rsidTr="005371F1">
        <w:tc>
          <w:tcPr>
            <w:tcW w:w="9355" w:type="dxa"/>
          </w:tcPr>
          <w:p w14:paraId="48079180" w14:textId="77777777" w:rsidR="007A3E5C" w:rsidRPr="00477F64" w:rsidRDefault="007A3E5C" w:rsidP="005371F1">
            <w:pPr>
              <w:pStyle w:val="1NumBul"/>
              <w:bidi/>
            </w:pPr>
            <w:r w:rsidRPr="00477F64">
              <w:rPr>
                <w:rtl/>
                <w:lang w:eastAsia="ar"/>
              </w:rPr>
              <w:t xml:space="preserve">تنظيف شمعات الإشعال وإعادة ضبطها </w:t>
            </w:r>
            <w:r w:rsidRPr="00477F64">
              <w:rPr>
                <w:rFonts w:ascii="Times New Roman"/>
                <w:rtl/>
                <w:lang w:eastAsia="ar"/>
              </w:rPr>
              <w:t>(</w:t>
            </w:r>
            <w:r w:rsidRPr="00477F64">
              <w:rPr>
                <w:rtl/>
                <w:lang w:eastAsia="ar"/>
              </w:rPr>
              <w:t>محرّك يعمل بالبنزين</w:t>
            </w:r>
            <w:r w:rsidRPr="00477F64">
              <w:rPr>
                <w:rFonts w:ascii="Times New Roman"/>
                <w:rtl/>
                <w:lang w:eastAsia="ar"/>
              </w:rPr>
              <w:t>)</w:t>
            </w:r>
          </w:p>
        </w:tc>
      </w:tr>
      <w:tr w:rsidR="007A3E5C" w14:paraId="7A8E5B33" w14:textId="77777777" w:rsidTr="005371F1">
        <w:tc>
          <w:tcPr>
            <w:tcW w:w="9355" w:type="dxa"/>
          </w:tcPr>
          <w:p w14:paraId="0ABC72D7" w14:textId="77777777" w:rsidR="007A3E5C" w:rsidRPr="00477F64" w:rsidRDefault="007A3E5C" w:rsidP="005371F1">
            <w:pPr>
              <w:pStyle w:val="1NumBul"/>
              <w:bidi/>
            </w:pPr>
            <w:r w:rsidRPr="00477F64">
              <w:rPr>
                <w:rtl/>
                <w:lang w:eastAsia="ar"/>
              </w:rPr>
              <w:t>تزييت جميع نقاط التشحيم</w:t>
            </w:r>
          </w:p>
        </w:tc>
      </w:tr>
      <w:tr w:rsidR="007A3E5C" w14:paraId="3690C5BD" w14:textId="77777777" w:rsidTr="005371F1">
        <w:tc>
          <w:tcPr>
            <w:tcW w:w="9355" w:type="dxa"/>
          </w:tcPr>
          <w:p w14:paraId="424D9D1A" w14:textId="77777777" w:rsidR="007A3E5C" w:rsidRPr="0093040D" w:rsidRDefault="007A3E5C" w:rsidP="005371F1">
            <w:pPr>
              <w:pStyle w:val="1NumBul"/>
              <w:bidi/>
              <w:jc w:val="left"/>
            </w:pPr>
            <w:r w:rsidRPr="0093040D">
              <w:rPr>
                <w:rtl/>
                <w:lang w:eastAsia="ar"/>
              </w:rPr>
              <w:t>تفقّد مستويات الزيت في</w:t>
            </w:r>
            <w:r w:rsidRPr="0093040D">
              <w:rPr>
                <w:rFonts w:ascii="Times New Roman"/>
                <w:rtl/>
                <w:lang w:eastAsia="ar"/>
              </w:rPr>
              <w:t>:</w:t>
            </w:r>
            <w:r w:rsidRPr="0093040D">
              <w:rPr>
                <w:rtl/>
                <w:lang w:eastAsia="ar"/>
              </w:rPr>
              <w:br/>
            </w:r>
            <w:r w:rsidRPr="0093040D">
              <w:rPr>
                <w:rFonts w:ascii="Times New Roman"/>
                <w:rtl/>
                <w:lang w:eastAsia="ar"/>
              </w:rPr>
              <w:tab/>
            </w:r>
            <w:r w:rsidRPr="0093040D">
              <w:rPr>
                <w:lang w:eastAsia="ar" w:bidi="en-US"/>
              </w:rPr>
              <w:t>a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ناقل الحركة، وتروس تخفيض السرعة والتروس التفاضلية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ب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فواصل متراوحة التوجيه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ج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علبة التوجيه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د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مضخة</w:t>
            </w:r>
            <w:r w:rsidRPr="0093040D">
              <w:rPr>
                <w:rtl/>
                <w:lang w:eastAsia="ar"/>
              </w:rPr>
              <w:t xml:space="preserve"> حقن الوقود</w:t>
            </w:r>
          </w:p>
        </w:tc>
      </w:tr>
      <w:tr w:rsidR="007A3E5C" w14:paraId="477CA2E8" w14:textId="77777777" w:rsidTr="005371F1">
        <w:tc>
          <w:tcPr>
            <w:tcW w:w="9355" w:type="dxa"/>
          </w:tcPr>
          <w:p w14:paraId="6AFEAE96" w14:textId="77777777" w:rsidR="007A3E5C" w:rsidRPr="0093040D" w:rsidRDefault="007A3E5C" w:rsidP="005371F1">
            <w:pPr>
              <w:pStyle w:val="1NumBul"/>
              <w:bidi/>
              <w:jc w:val="left"/>
            </w:pPr>
            <w:r w:rsidRPr="0093040D">
              <w:rPr>
                <w:rtl/>
                <w:lang w:eastAsia="ar"/>
              </w:rPr>
              <w:t>تفقّد مستويات السوائل في</w:t>
            </w:r>
            <w:r w:rsidRPr="0093040D">
              <w:rPr>
                <w:rFonts w:ascii="Times New Roman"/>
                <w:rtl/>
                <w:lang w:eastAsia="ar"/>
              </w:rPr>
              <w:t>:</w:t>
            </w:r>
            <w:r w:rsidRPr="0093040D">
              <w:rPr>
                <w:rtl/>
                <w:lang w:eastAsia="ar"/>
              </w:rPr>
              <w:br/>
            </w:r>
            <w:r w:rsidRPr="0093040D">
              <w:rPr>
                <w:rFonts w:ascii="Times New Roman"/>
                <w:rtl/>
                <w:lang w:eastAsia="ar"/>
              </w:rPr>
              <w:tab/>
            </w:r>
            <w:r w:rsidRPr="0093040D">
              <w:rPr>
                <w:rtl/>
                <w:lang w:eastAsia="ar"/>
              </w:rPr>
              <w:t>أ</w:t>
            </w:r>
            <w:r w:rsidRPr="0093040D">
              <w:rPr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المكابح وأسطوانات القابض الرئيسية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ب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>.</w:t>
            </w:r>
            <w:r w:rsidRPr="0093040D">
              <w:rPr>
                <w:rtl/>
                <w:lang w:eastAsia="ar"/>
              </w:rPr>
              <w:t xml:space="preserve"> الزجاجة </w:t>
            </w:r>
            <w:r w:rsidRPr="0093040D">
              <w:rPr>
                <w:rFonts w:ascii="Times New Roman"/>
                <w:rtl/>
                <w:lang w:eastAsia="ar"/>
              </w:rPr>
              <w:t>(</w:t>
            </w:r>
            <w:r w:rsidRPr="0093040D">
              <w:rPr>
                <w:rtl/>
                <w:lang w:eastAsia="ar"/>
              </w:rPr>
              <w:t>الزجاجات</w:t>
            </w:r>
            <w:r w:rsidRPr="0093040D">
              <w:rPr>
                <w:rFonts w:ascii="Times New Roman"/>
                <w:rtl/>
                <w:lang w:eastAsia="ar"/>
              </w:rPr>
              <w:t xml:space="preserve">) </w:t>
            </w:r>
            <w:r w:rsidRPr="0093040D">
              <w:rPr>
                <w:rtl/>
                <w:lang w:eastAsia="ar"/>
              </w:rPr>
              <w:t>الغاسلة للزجاج الأمامي</w:t>
            </w:r>
          </w:p>
        </w:tc>
      </w:tr>
      <w:tr w:rsidR="007A3E5C" w14:paraId="116376A0" w14:textId="77777777" w:rsidTr="005371F1">
        <w:tc>
          <w:tcPr>
            <w:tcW w:w="9355" w:type="dxa"/>
          </w:tcPr>
          <w:p w14:paraId="13828636" w14:textId="77777777" w:rsidR="007A3E5C" w:rsidRPr="0093040D" w:rsidRDefault="007A3E5C" w:rsidP="005371F1">
            <w:pPr>
              <w:pStyle w:val="1NumBul"/>
              <w:bidi/>
              <w:jc w:val="left"/>
            </w:pPr>
            <w:r w:rsidRPr="0093040D">
              <w:rPr>
                <w:rtl/>
                <w:lang w:eastAsia="ar"/>
              </w:rPr>
              <w:t>التزييت باستخدام المزيتة أو الشحم</w:t>
            </w:r>
            <w:r w:rsidRPr="0093040D">
              <w:rPr>
                <w:rFonts w:ascii="Times New Roman"/>
                <w:rtl/>
                <w:lang w:eastAsia="ar"/>
              </w:rPr>
              <w:t>:</w:t>
            </w:r>
            <w:r w:rsidRPr="0093040D">
              <w:rPr>
                <w:rtl/>
                <w:lang w:eastAsia="ar"/>
              </w:rPr>
              <w:br/>
            </w:r>
            <w:r w:rsidRPr="0093040D">
              <w:rPr>
                <w:rFonts w:ascii="Times New Roman"/>
                <w:rtl/>
                <w:lang w:eastAsia="ar"/>
              </w:rPr>
              <w:tab/>
            </w:r>
            <w:r w:rsidRPr="0093040D">
              <w:rPr>
                <w:lang w:eastAsia="ar" w:bidi="en-US"/>
              </w:rPr>
              <w:t>a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وصلات صمام الاختناق والمسارع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ب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أقفال الباب والمفصلات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ج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مثبتات</w:t>
            </w:r>
            <w:r w:rsidRPr="0093040D">
              <w:rPr>
                <w:rtl/>
                <w:lang w:eastAsia="ar"/>
              </w:rPr>
              <w:t>وأقفال غطاء المحرك وصندوق السيارة</w:t>
            </w:r>
          </w:p>
        </w:tc>
      </w:tr>
      <w:tr w:rsidR="007A3E5C" w14:paraId="0729B254" w14:textId="77777777" w:rsidTr="005371F1">
        <w:tc>
          <w:tcPr>
            <w:tcW w:w="9355" w:type="dxa"/>
          </w:tcPr>
          <w:p w14:paraId="2FCA83A9" w14:textId="77777777" w:rsidR="007A3E5C" w:rsidRPr="0093040D" w:rsidRDefault="007A3E5C" w:rsidP="005371F1">
            <w:pPr>
              <w:pStyle w:val="1NumBul"/>
              <w:bidi/>
              <w:jc w:val="left"/>
            </w:pPr>
            <w:r w:rsidRPr="0093040D">
              <w:rPr>
                <w:rtl/>
                <w:lang w:eastAsia="ar"/>
              </w:rPr>
              <w:t>تفقّد وتصحيح ما يلي إذا لزم الأمر</w:t>
            </w:r>
            <w:r w:rsidRPr="0093040D">
              <w:rPr>
                <w:rFonts w:ascii="Times New Roman"/>
                <w:rtl/>
                <w:lang w:eastAsia="ar"/>
              </w:rPr>
              <w:t>:</w:t>
            </w:r>
            <w:r w:rsidRPr="0093040D">
              <w:rPr>
                <w:rtl/>
                <w:lang w:eastAsia="ar"/>
              </w:rPr>
              <w:br/>
            </w:r>
            <w:r w:rsidRPr="0093040D">
              <w:rPr>
                <w:rFonts w:ascii="Times New Roman"/>
                <w:rtl/>
                <w:lang w:eastAsia="ar"/>
              </w:rPr>
              <w:tab/>
            </w:r>
            <w:r w:rsidRPr="0093040D">
              <w:rPr>
                <w:rtl/>
                <w:lang w:eastAsia="ar"/>
              </w:rPr>
              <w:t>أ</w:t>
            </w:r>
            <w:r w:rsidRPr="0093040D">
              <w:rPr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نظافة أطراف البطارية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ب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مشابك البطارية للتحقق من إحكام تثبيتها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ج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 xml:space="preserve">ربط حزام المروحة 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>(</w:t>
            </w:r>
            <w:r w:rsidRPr="00477F64">
              <w:rPr>
                <w:rStyle w:val="2AlphaChar"/>
                <w:rtl/>
                <w:lang w:eastAsia="ar"/>
              </w:rPr>
              <w:t>تجنب الربط المفرط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>)</w:t>
            </w:r>
            <w:r w:rsidRPr="00477F64">
              <w:rPr>
                <w:rStyle w:val="2AlphaChar"/>
                <w:rtl/>
                <w:lang w:eastAsia="ar"/>
              </w:rPr>
              <w:br/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ab/>
            </w:r>
            <w:r w:rsidRPr="00477F64">
              <w:rPr>
                <w:rStyle w:val="2AlphaChar"/>
                <w:rtl/>
                <w:lang w:eastAsia="ar"/>
              </w:rPr>
              <w:t>د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سرعة تباطؤ المحرك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هـ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تسرّب المياه والزيت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و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مسافات الأمان للقابض ودواسة المكابح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ز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 xml:space="preserve">الهيكل والبراغي الزنبركية على شكل حرف </w:t>
            </w:r>
            <w:r w:rsidRPr="00477F64">
              <w:rPr>
                <w:rStyle w:val="2AlphaChar"/>
                <w:lang w:eastAsia="ar" w:bidi="en-US"/>
              </w:rPr>
              <w:t>U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ح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ضغط الإطار والتلف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ط صواميل العجل للتحقق من إحكام ربطها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ي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مسامير عمود التدوير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br/>
            </w:r>
            <w:r w:rsidRPr="00477F64">
              <w:rPr>
                <w:rStyle w:val="2AlphaChar"/>
                <w:rtl/>
                <w:lang w:eastAsia="ar"/>
              </w:rPr>
              <w:tab/>
              <w:t>ك</w:t>
            </w:r>
            <w:r w:rsidRPr="00477F64">
              <w:rPr>
                <w:rStyle w:val="2AlphaChar"/>
                <w:rFonts w:ascii="Times New Roman"/>
                <w:rtl/>
                <w:lang w:eastAsia="ar"/>
              </w:rPr>
              <w:t xml:space="preserve">. </w:t>
            </w:r>
            <w:r w:rsidRPr="00477F64">
              <w:rPr>
                <w:rStyle w:val="2AlphaChar"/>
                <w:rtl/>
                <w:lang w:eastAsia="ar"/>
              </w:rPr>
              <w:t>ترصيص</w:t>
            </w:r>
            <w:r w:rsidRPr="0093040D">
              <w:rPr>
                <w:rtl/>
                <w:lang w:eastAsia="ar"/>
              </w:rPr>
              <w:t xml:space="preserve"> العجل واتزانه</w:t>
            </w:r>
          </w:p>
        </w:tc>
      </w:tr>
      <w:tr w:rsidR="007A3E5C" w14:paraId="307519C9" w14:textId="77777777" w:rsidTr="005371F1">
        <w:tc>
          <w:tcPr>
            <w:tcW w:w="9355" w:type="dxa"/>
          </w:tcPr>
          <w:p w14:paraId="65AB0260" w14:textId="77777777" w:rsidR="007A3E5C" w:rsidRPr="0025052C" w:rsidRDefault="007A3E5C" w:rsidP="005371F1">
            <w:pPr>
              <w:pStyle w:val="TableText"/>
              <w:bidi/>
              <w:rPr>
                <w:rFonts w:cs="Arial"/>
              </w:rPr>
            </w:pPr>
            <w:r w:rsidRPr="0025052C">
              <w:rPr>
                <w:rtl/>
                <w:lang w:eastAsia="ar"/>
              </w:rPr>
              <w:t>ملاحظات</w:t>
            </w:r>
            <w:r w:rsidRPr="0025052C">
              <w:rPr>
                <w:rFonts w:ascii="Times New Roman"/>
                <w:rtl/>
                <w:lang w:eastAsia="ar"/>
              </w:rPr>
              <w:t>:</w:t>
            </w:r>
          </w:p>
          <w:p w14:paraId="6C87101D" w14:textId="77777777" w:rsidR="007A3E5C" w:rsidRPr="0025052C" w:rsidRDefault="007A3E5C" w:rsidP="007A3E5C">
            <w:pPr>
              <w:pStyle w:val="TableBullet"/>
              <w:bidi/>
              <w:jc w:val="both"/>
              <w:rPr>
                <w:rFonts w:cs="Arial"/>
              </w:rPr>
            </w:pPr>
            <w:r w:rsidRPr="0025052C">
              <w:rPr>
                <w:rtl/>
                <w:lang w:eastAsia="ar"/>
              </w:rPr>
              <w:t>تجنب الإفراط في مستويات تعبئة الزيت</w:t>
            </w:r>
          </w:p>
          <w:p w14:paraId="14821050" w14:textId="77777777" w:rsidR="007A3E5C" w:rsidRPr="0025052C" w:rsidRDefault="007A3E5C" w:rsidP="007A3E5C">
            <w:pPr>
              <w:pStyle w:val="TableBullet"/>
              <w:bidi/>
              <w:jc w:val="both"/>
              <w:rPr>
                <w:rFonts w:cs="Arial"/>
              </w:rPr>
            </w:pPr>
            <w:r w:rsidRPr="0025052C">
              <w:rPr>
                <w:rtl/>
                <w:lang w:eastAsia="ar"/>
              </w:rPr>
              <w:t>تخلص من قطرات الزيت والانسكابات بعد التعبئة والتزييت</w:t>
            </w:r>
          </w:p>
          <w:p w14:paraId="5CB89691" w14:textId="77777777" w:rsidR="007A3E5C" w:rsidRPr="0093040D" w:rsidRDefault="007A3E5C" w:rsidP="007A3E5C">
            <w:pPr>
              <w:pStyle w:val="TableBullet"/>
              <w:bidi/>
              <w:jc w:val="both"/>
              <w:rPr>
                <w:rFonts w:cs="Arial"/>
              </w:rPr>
            </w:pPr>
            <w:r w:rsidRPr="0025052C">
              <w:rPr>
                <w:rtl/>
                <w:lang w:eastAsia="ar"/>
              </w:rPr>
              <w:t>امسح الشحم الفائض وآثار الأصابع من أعمال الطلاء ومن الداخل</w:t>
            </w:r>
          </w:p>
        </w:tc>
      </w:tr>
      <w:bookmarkEnd w:id="1"/>
    </w:tbl>
    <w:p w14:paraId="176AF715" w14:textId="77777777" w:rsidR="007A3E5C" w:rsidRDefault="007A3E5C" w:rsidP="007A3E5C">
      <w:pPr>
        <w:bidi/>
        <w:contextualSpacing/>
        <w:jc w:val="left"/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A3E5C" w14:paraId="71A41BD8" w14:textId="77777777" w:rsidTr="005371F1">
        <w:tc>
          <w:tcPr>
            <w:tcW w:w="9355" w:type="dxa"/>
            <w:shd w:val="clear" w:color="auto" w:fill="C6D9F1" w:themeFill="text2" w:themeFillTint="33"/>
          </w:tcPr>
          <w:p w14:paraId="7D95A9E8" w14:textId="77777777" w:rsidR="007A3E5C" w:rsidRPr="0093040D" w:rsidRDefault="007A3E5C" w:rsidP="005371F1">
            <w:pPr>
              <w:pStyle w:val="TableHeading"/>
              <w:bidi/>
            </w:pPr>
            <w:r>
              <w:rPr>
                <w:rtl/>
                <w:lang w:eastAsia="ar"/>
              </w:rPr>
              <w:t xml:space="preserve">مركبات الدفع الرباعي 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– </w:t>
            </w:r>
            <w:r>
              <w:rPr>
                <w:rtl/>
                <w:lang w:eastAsia="ar"/>
              </w:rPr>
              <w:t xml:space="preserve">نوع الخدمة ب 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– </w:t>
            </w:r>
            <w:r>
              <w:rPr>
                <w:rtl/>
                <w:lang w:eastAsia="ar"/>
              </w:rPr>
              <w:t xml:space="preserve">كل </w:t>
            </w:r>
            <w:r>
              <w:rPr>
                <w:rFonts w:ascii="Times New Roman"/>
                <w:b w:val="0"/>
                <w:rtl/>
                <w:lang w:eastAsia="ar"/>
              </w:rPr>
              <w:t>20</w:t>
            </w:r>
            <w:r>
              <w:rPr>
                <w:rtl/>
                <w:lang w:eastAsia="ar"/>
              </w:rPr>
              <w:t>,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000 </w:t>
            </w:r>
            <w:r>
              <w:rPr>
                <w:rtl/>
                <w:lang w:eastAsia="ar"/>
              </w:rPr>
              <w:t>كم</w:t>
            </w:r>
          </w:p>
        </w:tc>
      </w:tr>
      <w:tr w:rsidR="007A3E5C" w14:paraId="3BD14314" w14:textId="77777777" w:rsidTr="005371F1">
        <w:tc>
          <w:tcPr>
            <w:tcW w:w="9355" w:type="dxa"/>
          </w:tcPr>
          <w:p w14:paraId="3FCD2355" w14:textId="77777777" w:rsidR="007A3E5C" w:rsidRPr="0093040D" w:rsidRDefault="007A3E5C" w:rsidP="005371F1">
            <w:pPr>
              <w:pStyle w:val="TableText"/>
              <w:bidi/>
            </w:pPr>
            <w:r w:rsidRPr="0093040D">
              <w:rPr>
                <w:rtl/>
                <w:lang w:eastAsia="ar"/>
              </w:rPr>
              <w:t xml:space="preserve">النوع </w:t>
            </w:r>
            <w:r w:rsidRPr="0093040D">
              <w:rPr>
                <w:rFonts w:ascii="Times New Roman"/>
                <w:rtl/>
                <w:lang w:eastAsia="ar"/>
              </w:rPr>
              <w:t>«</w:t>
            </w:r>
            <w:r w:rsidRPr="0093040D">
              <w:rPr>
                <w:rtl/>
                <w:lang w:eastAsia="ar"/>
              </w:rPr>
              <w:t>أ</w:t>
            </w:r>
            <w:r w:rsidRPr="0093040D">
              <w:rPr>
                <w:rFonts w:ascii="Times New Roman"/>
                <w:rtl/>
                <w:lang w:eastAsia="ar"/>
              </w:rPr>
              <w:t xml:space="preserve">» </w:t>
            </w:r>
            <w:r w:rsidRPr="0093040D">
              <w:rPr>
                <w:rtl/>
                <w:lang w:eastAsia="ar"/>
              </w:rPr>
              <w:t>بالإضافة إلى</w:t>
            </w:r>
            <w:r w:rsidRPr="0093040D">
              <w:rPr>
                <w:rFonts w:ascii="Times New Roman"/>
                <w:rtl/>
                <w:lang w:eastAsia="ar"/>
              </w:rPr>
              <w:t>:</w:t>
            </w:r>
          </w:p>
        </w:tc>
      </w:tr>
      <w:tr w:rsidR="007A3E5C" w14:paraId="3CC4ADDE" w14:textId="77777777" w:rsidTr="005371F1">
        <w:tc>
          <w:tcPr>
            <w:tcW w:w="9355" w:type="dxa"/>
          </w:tcPr>
          <w:p w14:paraId="66072FE1" w14:textId="77777777" w:rsidR="007A3E5C" w:rsidRPr="0093040D" w:rsidRDefault="007A3E5C" w:rsidP="007A3E5C">
            <w:pPr>
              <w:pStyle w:val="1NumBul"/>
              <w:numPr>
                <w:ilvl w:val="0"/>
                <w:numId w:val="8"/>
              </w:numPr>
              <w:bidi/>
            </w:pPr>
            <w:r w:rsidRPr="0093040D">
              <w:rPr>
                <w:rtl/>
                <w:lang w:eastAsia="ar"/>
              </w:rPr>
              <w:t>استبدال فلاتر الوقود</w:t>
            </w:r>
          </w:p>
        </w:tc>
      </w:tr>
      <w:tr w:rsidR="007A3E5C" w14:paraId="52425385" w14:textId="77777777" w:rsidTr="005371F1">
        <w:tc>
          <w:tcPr>
            <w:tcW w:w="9355" w:type="dxa"/>
          </w:tcPr>
          <w:p w14:paraId="604F0366" w14:textId="77777777" w:rsidR="007A3E5C" w:rsidRPr="0093040D" w:rsidRDefault="007A3E5C" w:rsidP="005371F1">
            <w:pPr>
              <w:pStyle w:val="1NumBul"/>
              <w:bidi/>
            </w:pPr>
            <w:r w:rsidRPr="0093040D">
              <w:rPr>
                <w:rtl/>
                <w:lang w:eastAsia="ar"/>
              </w:rPr>
              <w:t xml:space="preserve">استبدال عنصر ترشيح الهواء </w:t>
            </w:r>
            <w:r w:rsidRPr="0093040D">
              <w:rPr>
                <w:rFonts w:ascii="Times New Roman"/>
                <w:rtl/>
                <w:lang w:eastAsia="ar"/>
              </w:rPr>
              <w:t>(</w:t>
            </w:r>
            <w:r w:rsidRPr="0093040D">
              <w:rPr>
                <w:rtl/>
                <w:lang w:eastAsia="ar"/>
              </w:rPr>
              <w:t>بدلاً من تنظيفه</w:t>
            </w:r>
            <w:r w:rsidRPr="0093040D">
              <w:rPr>
                <w:rFonts w:ascii="Times New Roman"/>
                <w:rtl/>
                <w:lang w:eastAsia="ar"/>
              </w:rPr>
              <w:t>)</w:t>
            </w:r>
          </w:p>
        </w:tc>
      </w:tr>
      <w:tr w:rsidR="007A3E5C" w14:paraId="4D7E8948" w14:textId="77777777" w:rsidTr="005371F1">
        <w:tc>
          <w:tcPr>
            <w:tcW w:w="9355" w:type="dxa"/>
          </w:tcPr>
          <w:p w14:paraId="558AEBA2" w14:textId="77777777" w:rsidR="007A3E5C" w:rsidRPr="0093040D" w:rsidRDefault="007A3E5C" w:rsidP="005371F1">
            <w:pPr>
              <w:pStyle w:val="1NumBul"/>
              <w:bidi/>
            </w:pPr>
            <w:r w:rsidRPr="0093040D">
              <w:rPr>
                <w:rtl/>
                <w:lang w:eastAsia="ar"/>
              </w:rPr>
              <w:t xml:space="preserve">استبدال نقاط قاطع التلامس </w:t>
            </w:r>
            <w:r w:rsidRPr="0093040D">
              <w:rPr>
                <w:rFonts w:ascii="Times New Roman"/>
                <w:rtl/>
                <w:lang w:eastAsia="ar"/>
              </w:rPr>
              <w:t>(</w:t>
            </w:r>
            <w:r w:rsidRPr="0093040D">
              <w:rPr>
                <w:rtl/>
                <w:lang w:eastAsia="ar"/>
              </w:rPr>
              <w:t>بدلاً من تنظيفها وإعادة ضبطها</w:t>
            </w:r>
            <w:r w:rsidRPr="0093040D">
              <w:rPr>
                <w:rFonts w:ascii="Times New Roman"/>
                <w:rtl/>
                <w:lang w:eastAsia="ar"/>
              </w:rPr>
              <w:t>)</w:t>
            </w:r>
          </w:p>
        </w:tc>
      </w:tr>
      <w:tr w:rsidR="007A3E5C" w14:paraId="6FB06DD9" w14:textId="77777777" w:rsidTr="005371F1">
        <w:tc>
          <w:tcPr>
            <w:tcW w:w="9355" w:type="dxa"/>
          </w:tcPr>
          <w:p w14:paraId="0A656A6C" w14:textId="77777777" w:rsidR="007A3E5C" w:rsidRPr="0093040D" w:rsidRDefault="007A3E5C" w:rsidP="005371F1">
            <w:pPr>
              <w:pStyle w:val="1NumBul"/>
              <w:bidi/>
            </w:pPr>
            <w:r w:rsidRPr="0093040D">
              <w:rPr>
                <w:rtl/>
                <w:lang w:eastAsia="ar"/>
              </w:rPr>
              <w:t>تزييت الموزع</w:t>
            </w:r>
          </w:p>
        </w:tc>
      </w:tr>
      <w:tr w:rsidR="007A3E5C" w14:paraId="01067470" w14:textId="77777777" w:rsidTr="005371F1">
        <w:tc>
          <w:tcPr>
            <w:tcW w:w="9355" w:type="dxa"/>
          </w:tcPr>
          <w:p w14:paraId="5E731C02" w14:textId="77777777" w:rsidR="007A3E5C" w:rsidRPr="0093040D" w:rsidRDefault="007A3E5C" w:rsidP="005371F1">
            <w:pPr>
              <w:pStyle w:val="1NumBul"/>
              <w:bidi/>
            </w:pPr>
            <w:r w:rsidRPr="0093040D">
              <w:rPr>
                <w:rtl/>
                <w:lang w:eastAsia="ar"/>
              </w:rPr>
              <w:t xml:space="preserve">استبدال شمعات الإشعال </w:t>
            </w:r>
            <w:r w:rsidRPr="0093040D">
              <w:rPr>
                <w:rFonts w:ascii="Times New Roman"/>
                <w:rtl/>
                <w:lang w:eastAsia="ar"/>
              </w:rPr>
              <w:t>(</w:t>
            </w:r>
            <w:r w:rsidRPr="0093040D">
              <w:rPr>
                <w:rtl/>
                <w:lang w:eastAsia="ar"/>
              </w:rPr>
              <w:t>بدلاً من تنظيفها وإعادة ضبطها</w:t>
            </w:r>
            <w:r w:rsidRPr="0093040D">
              <w:rPr>
                <w:rFonts w:ascii="Times New Roman"/>
                <w:rtl/>
                <w:lang w:eastAsia="ar"/>
              </w:rPr>
              <w:t>)</w:t>
            </w:r>
          </w:p>
        </w:tc>
      </w:tr>
      <w:tr w:rsidR="007A3E5C" w14:paraId="72084730" w14:textId="77777777" w:rsidTr="005371F1">
        <w:tc>
          <w:tcPr>
            <w:tcW w:w="9355" w:type="dxa"/>
          </w:tcPr>
          <w:p w14:paraId="6FAD9BE4" w14:textId="77777777" w:rsidR="007A3E5C" w:rsidRDefault="007A3E5C" w:rsidP="005371F1">
            <w:pPr>
              <w:pStyle w:val="1NumBul"/>
              <w:bidi/>
            </w:pPr>
            <w:r w:rsidRPr="00844B7F">
              <w:rPr>
                <w:rtl/>
                <w:lang w:eastAsia="ar"/>
              </w:rPr>
              <w:t>تفقّد مستويات السوائل في</w:t>
            </w:r>
            <w:r w:rsidRPr="00844B7F">
              <w:rPr>
                <w:rFonts w:ascii="Times New Roman"/>
                <w:rtl/>
                <w:lang w:eastAsia="ar"/>
              </w:rPr>
              <w:t>:</w:t>
            </w:r>
          </w:p>
          <w:p w14:paraId="7242644D" w14:textId="77777777" w:rsidR="007A3E5C" w:rsidRDefault="007A3E5C" w:rsidP="007A3E5C">
            <w:pPr>
              <w:pStyle w:val="2Alpha"/>
              <w:bidi/>
              <w:ind w:left="611" w:hanging="251"/>
              <w:jc w:val="left"/>
            </w:pPr>
            <w:r w:rsidRPr="00844B7F">
              <w:rPr>
                <w:rtl/>
                <w:lang w:eastAsia="ar"/>
              </w:rPr>
              <w:t>البطارية</w:t>
            </w:r>
          </w:p>
          <w:p w14:paraId="780EC7B2" w14:textId="77777777" w:rsidR="007A3E5C" w:rsidRPr="00844B7F" w:rsidRDefault="007A3E5C" w:rsidP="007A3E5C">
            <w:pPr>
              <w:pStyle w:val="2Alpha"/>
              <w:bidi/>
              <w:ind w:left="611" w:hanging="251"/>
              <w:jc w:val="left"/>
            </w:pPr>
            <w:r w:rsidRPr="00844B7F">
              <w:rPr>
                <w:rtl/>
                <w:lang w:eastAsia="ar"/>
              </w:rPr>
              <w:t>المشع</w:t>
            </w:r>
          </w:p>
          <w:p w14:paraId="6A0FDCE4" w14:textId="77777777" w:rsidR="007A3E5C" w:rsidRPr="00844B7F" w:rsidRDefault="007A3E5C" w:rsidP="007A3E5C">
            <w:pPr>
              <w:pStyle w:val="2Alpha"/>
              <w:bidi/>
              <w:ind w:left="611" w:hanging="251"/>
              <w:jc w:val="left"/>
            </w:pPr>
            <w:r w:rsidRPr="00844B7F">
              <w:rPr>
                <w:rtl/>
                <w:lang w:eastAsia="ar"/>
              </w:rPr>
              <w:t>تفقّد وتصحيح ما يلي إذا لزم الأمر</w:t>
            </w:r>
          </w:p>
          <w:p w14:paraId="7D99FFF3" w14:textId="77777777" w:rsidR="007A3E5C" w:rsidRPr="00844B7F" w:rsidRDefault="007A3E5C" w:rsidP="007A3E5C">
            <w:pPr>
              <w:pStyle w:val="2Alpha"/>
              <w:bidi/>
              <w:ind w:left="611" w:hanging="251"/>
              <w:jc w:val="left"/>
            </w:pPr>
            <w:r w:rsidRPr="00844B7F">
              <w:rPr>
                <w:rtl/>
                <w:lang w:eastAsia="ar"/>
              </w:rPr>
              <w:t>جُلب التعليق</w:t>
            </w:r>
          </w:p>
          <w:p w14:paraId="17FD076A" w14:textId="77777777" w:rsidR="007A3E5C" w:rsidRPr="00844B7F" w:rsidRDefault="007A3E5C" w:rsidP="007A3E5C">
            <w:pPr>
              <w:pStyle w:val="2Alpha"/>
              <w:bidi/>
              <w:ind w:left="611" w:hanging="251"/>
              <w:jc w:val="left"/>
            </w:pPr>
            <w:r w:rsidRPr="00844B7F">
              <w:rPr>
                <w:rtl/>
                <w:lang w:eastAsia="ar"/>
              </w:rPr>
              <w:t>تعديل محمل العجل</w:t>
            </w:r>
          </w:p>
          <w:p w14:paraId="611223FB" w14:textId="77777777" w:rsidR="007A3E5C" w:rsidRPr="00844B7F" w:rsidRDefault="007A3E5C" w:rsidP="007A3E5C">
            <w:pPr>
              <w:pStyle w:val="2Alpha"/>
              <w:bidi/>
              <w:ind w:left="611" w:hanging="251"/>
              <w:jc w:val="left"/>
            </w:pPr>
            <w:r w:rsidRPr="00844B7F">
              <w:rPr>
                <w:rtl/>
                <w:lang w:eastAsia="ar"/>
              </w:rPr>
              <w:t>تركيب المحرك وناقل الحركة</w:t>
            </w:r>
          </w:p>
          <w:p w14:paraId="0FFB300D" w14:textId="77777777" w:rsidR="007A3E5C" w:rsidRPr="00844B7F" w:rsidRDefault="007A3E5C" w:rsidP="007A3E5C">
            <w:pPr>
              <w:pStyle w:val="2Alpha"/>
              <w:bidi/>
              <w:ind w:left="611" w:hanging="251"/>
              <w:jc w:val="left"/>
            </w:pPr>
            <w:r w:rsidRPr="00844B7F">
              <w:rPr>
                <w:rtl/>
                <w:lang w:eastAsia="ar"/>
              </w:rPr>
              <w:t>المكابح، والقابض وأنابيب الوقود</w:t>
            </w:r>
          </w:p>
          <w:p w14:paraId="326F0A5C" w14:textId="77777777" w:rsidR="007A3E5C" w:rsidRPr="00844B7F" w:rsidRDefault="007A3E5C" w:rsidP="007A3E5C">
            <w:pPr>
              <w:pStyle w:val="2Alpha"/>
              <w:bidi/>
              <w:ind w:left="611" w:hanging="251"/>
              <w:jc w:val="left"/>
            </w:pPr>
            <w:r w:rsidRPr="00844B7F">
              <w:rPr>
                <w:rtl/>
                <w:lang w:eastAsia="ar"/>
              </w:rPr>
              <w:t>تركيبات العادم للتحقق من إحكام ربطها</w:t>
            </w:r>
          </w:p>
          <w:p w14:paraId="68ED48A1" w14:textId="77777777" w:rsidR="007A3E5C" w:rsidRPr="0093040D" w:rsidRDefault="007A3E5C" w:rsidP="007A3E5C">
            <w:pPr>
              <w:pStyle w:val="2Alpha"/>
              <w:bidi/>
              <w:ind w:left="611" w:hanging="251"/>
              <w:jc w:val="left"/>
            </w:pPr>
            <w:r w:rsidRPr="00844B7F">
              <w:rPr>
                <w:rtl/>
                <w:lang w:eastAsia="ar"/>
              </w:rPr>
              <w:t>إعادة ضبط مسافات الأمان الخاصة بالصمام</w:t>
            </w:r>
          </w:p>
        </w:tc>
      </w:tr>
      <w:tr w:rsidR="007A3E5C" w14:paraId="0F8F0730" w14:textId="77777777" w:rsidTr="005371F1">
        <w:tc>
          <w:tcPr>
            <w:tcW w:w="9355" w:type="dxa"/>
          </w:tcPr>
          <w:p w14:paraId="42A0028F" w14:textId="77777777" w:rsidR="007A3E5C" w:rsidRPr="0093040D" w:rsidRDefault="007A3E5C" w:rsidP="005371F1">
            <w:pPr>
              <w:pStyle w:val="1NumBul"/>
              <w:bidi/>
            </w:pPr>
            <w:r w:rsidRPr="0093040D">
              <w:rPr>
                <w:rtl/>
                <w:lang w:eastAsia="ar"/>
              </w:rPr>
              <w:t xml:space="preserve">التحقق من بطانات المكابح والأسطوانات، وتنظيفها والإبلاغ عن وجود تلف إذا وُجد </w:t>
            </w:r>
          </w:p>
        </w:tc>
      </w:tr>
      <w:tr w:rsidR="007A3E5C" w14:paraId="6CF2DE9A" w14:textId="77777777" w:rsidTr="005371F1">
        <w:tc>
          <w:tcPr>
            <w:tcW w:w="9355" w:type="dxa"/>
          </w:tcPr>
          <w:p w14:paraId="7D136ABD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494C7D20" w14:textId="77777777" w:rsidTr="005371F1">
        <w:tc>
          <w:tcPr>
            <w:tcW w:w="9355" w:type="dxa"/>
          </w:tcPr>
          <w:p w14:paraId="3C52A338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57991A2F" w14:textId="77777777" w:rsidTr="005371F1">
        <w:tc>
          <w:tcPr>
            <w:tcW w:w="9355" w:type="dxa"/>
          </w:tcPr>
          <w:p w14:paraId="1669100A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1EDF102F" w14:textId="77777777" w:rsidTr="005371F1">
        <w:tc>
          <w:tcPr>
            <w:tcW w:w="9355" w:type="dxa"/>
          </w:tcPr>
          <w:p w14:paraId="278E7303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</w:tbl>
    <w:p w14:paraId="6E7CA999" w14:textId="77777777" w:rsidR="007A3E5C" w:rsidRDefault="007A3E5C" w:rsidP="007A3E5C">
      <w:pPr>
        <w:bidi/>
        <w:contextualSpacing/>
        <w:jc w:val="left"/>
        <w:rPr>
          <w:b/>
          <w:bCs/>
        </w:rPr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A3E5C" w14:paraId="285CE530" w14:textId="77777777" w:rsidTr="005371F1">
        <w:tc>
          <w:tcPr>
            <w:tcW w:w="9355" w:type="dxa"/>
            <w:shd w:val="clear" w:color="auto" w:fill="C6D9F1" w:themeFill="text2" w:themeFillTint="33"/>
          </w:tcPr>
          <w:p w14:paraId="3F833A35" w14:textId="77777777" w:rsidR="007A3E5C" w:rsidRPr="0093040D" w:rsidRDefault="007A3E5C" w:rsidP="005371F1">
            <w:pPr>
              <w:pStyle w:val="TableHeading"/>
              <w:bidi/>
            </w:pPr>
            <w:bookmarkStart w:id="2" w:name="_Hlk31695668"/>
            <w:r>
              <w:rPr>
                <w:rtl/>
                <w:lang w:eastAsia="ar"/>
              </w:rPr>
              <w:t xml:space="preserve">مركبات الدفع الرباعي 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– </w:t>
            </w:r>
            <w:r>
              <w:rPr>
                <w:rtl/>
                <w:lang w:eastAsia="ar"/>
              </w:rPr>
              <w:t xml:space="preserve">نوع الخدمة ج 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– </w:t>
            </w:r>
            <w:r>
              <w:rPr>
                <w:rtl/>
                <w:lang w:eastAsia="ar"/>
              </w:rPr>
              <w:t xml:space="preserve">كل </w:t>
            </w:r>
            <w:r>
              <w:rPr>
                <w:rFonts w:ascii="Times New Roman"/>
                <w:b w:val="0"/>
                <w:rtl/>
                <w:lang w:eastAsia="ar"/>
              </w:rPr>
              <w:t>40</w:t>
            </w:r>
            <w:r>
              <w:rPr>
                <w:rtl/>
                <w:lang w:eastAsia="ar"/>
              </w:rPr>
              <w:t>,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000 </w:t>
            </w:r>
            <w:r>
              <w:rPr>
                <w:rtl/>
                <w:lang w:eastAsia="ar"/>
              </w:rPr>
              <w:t>كم</w:t>
            </w:r>
          </w:p>
        </w:tc>
      </w:tr>
      <w:bookmarkEnd w:id="2"/>
      <w:tr w:rsidR="007A3E5C" w14:paraId="089588EA" w14:textId="77777777" w:rsidTr="005371F1">
        <w:tc>
          <w:tcPr>
            <w:tcW w:w="9355" w:type="dxa"/>
          </w:tcPr>
          <w:p w14:paraId="0ED1256D" w14:textId="77777777" w:rsidR="007A3E5C" w:rsidRPr="0093040D" w:rsidRDefault="007A3E5C" w:rsidP="005371F1">
            <w:pPr>
              <w:pStyle w:val="TableText"/>
              <w:bidi/>
            </w:pPr>
            <w:r w:rsidRPr="0093040D">
              <w:rPr>
                <w:rtl/>
                <w:lang w:eastAsia="ar"/>
              </w:rPr>
              <w:t xml:space="preserve">النوع </w:t>
            </w:r>
            <w:r w:rsidRPr="0093040D">
              <w:rPr>
                <w:rFonts w:ascii="Times New Roman"/>
                <w:rtl/>
                <w:lang w:eastAsia="ar"/>
              </w:rPr>
              <w:t>«</w:t>
            </w:r>
            <w:r w:rsidRPr="0093040D">
              <w:rPr>
                <w:rtl/>
                <w:lang w:eastAsia="ar"/>
              </w:rPr>
              <w:t>ب</w:t>
            </w:r>
            <w:r w:rsidRPr="0093040D">
              <w:rPr>
                <w:rFonts w:ascii="Times New Roman"/>
                <w:rtl/>
                <w:lang w:eastAsia="ar"/>
              </w:rPr>
              <w:t xml:space="preserve">» </w:t>
            </w:r>
            <w:r w:rsidRPr="0093040D">
              <w:rPr>
                <w:rtl/>
                <w:lang w:eastAsia="ar"/>
              </w:rPr>
              <w:t>بالإضافة إلى</w:t>
            </w:r>
            <w:r w:rsidRPr="0093040D">
              <w:rPr>
                <w:rFonts w:ascii="Times New Roman"/>
                <w:rtl/>
                <w:lang w:eastAsia="ar"/>
              </w:rPr>
              <w:t>:</w:t>
            </w:r>
          </w:p>
        </w:tc>
      </w:tr>
      <w:tr w:rsidR="007A3E5C" w14:paraId="2BF45325" w14:textId="77777777" w:rsidTr="005371F1">
        <w:tc>
          <w:tcPr>
            <w:tcW w:w="9355" w:type="dxa"/>
          </w:tcPr>
          <w:p w14:paraId="6BB222F7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  <w:r w:rsidRPr="0093040D">
              <w:rPr>
                <w:rFonts w:cs="Arial"/>
                <w:color w:val="000000"/>
                <w:rtl/>
                <w:lang w:eastAsia="ar"/>
              </w:rPr>
              <w:t>1. تنظيف خزان الوقود</w:t>
            </w:r>
          </w:p>
        </w:tc>
      </w:tr>
      <w:tr w:rsidR="007A3E5C" w14:paraId="7AC41023" w14:textId="77777777" w:rsidTr="005371F1">
        <w:tc>
          <w:tcPr>
            <w:tcW w:w="9355" w:type="dxa"/>
          </w:tcPr>
          <w:p w14:paraId="57267E31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  <w:r w:rsidRPr="0093040D">
              <w:rPr>
                <w:rFonts w:cs="Arial"/>
                <w:color w:val="000000"/>
                <w:rtl/>
                <w:lang w:eastAsia="ar"/>
              </w:rPr>
              <w:t>2. استبدال مكثف الموزع</w:t>
            </w:r>
          </w:p>
        </w:tc>
      </w:tr>
      <w:tr w:rsidR="007A3E5C" w14:paraId="3AD352F6" w14:textId="77777777" w:rsidTr="005371F1">
        <w:tc>
          <w:tcPr>
            <w:tcW w:w="9355" w:type="dxa"/>
          </w:tcPr>
          <w:p w14:paraId="4EAC15F6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  <w:r w:rsidRPr="0093040D">
              <w:rPr>
                <w:rFonts w:cs="Arial"/>
                <w:color w:val="000000"/>
                <w:rtl/>
                <w:lang w:eastAsia="ar"/>
              </w:rPr>
              <w:t>3. تصريف الزيت وتجديده في تروس تخفيض السرعة</w:t>
            </w:r>
          </w:p>
        </w:tc>
      </w:tr>
      <w:tr w:rsidR="007A3E5C" w14:paraId="3F2DFB24" w14:textId="77777777" w:rsidTr="005371F1">
        <w:tc>
          <w:tcPr>
            <w:tcW w:w="9355" w:type="dxa"/>
          </w:tcPr>
          <w:p w14:paraId="582283FA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  <w:r w:rsidRPr="0093040D">
              <w:rPr>
                <w:rFonts w:cs="Arial"/>
                <w:color w:val="000000"/>
                <w:rtl/>
                <w:lang w:eastAsia="ar"/>
              </w:rPr>
              <w:t>4. تصريف الزيت وتجديده في نواقل الحركة</w:t>
            </w:r>
          </w:p>
        </w:tc>
      </w:tr>
      <w:tr w:rsidR="007A3E5C" w14:paraId="7881C122" w14:textId="77777777" w:rsidTr="005371F1">
        <w:tc>
          <w:tcPr>
            <w:tcW w:w="9355" w:type="dxa"/>
          </w:tcPr>
          <w:p w14:paraId="62086E71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  <w:r w:rsidRPr="0093040D">
              <w:rPr>
                <w:rFonts w:cs="Arial"/>
                <w:color w:val="000000"/>
                <w:rtl/>
                <w:lang w:eastAsia="ar"/>
              </w:rPr>
              <w:t>5. تصريف الزيت وتجديده في التروس التفاضلية</w:t>
            </w:r>
          </w:p>
        </w:tc>
      </w:tr>
      <w:tr w:rsidR="007A3E5C" w14:paraId="09FE2A9D" w14:textId="77777777" w:rsidTr="005371F1">
        <w:tc>
          <w:tcPr>
            <w:tcW w:w="9355" w:type="dxa"/>
          </w:tcPr>
          <w:p w14:paraId="24DB3E9F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  <w:color w:val="000000"/>
              </w:rPr>
            </w:pPr>
            <w:r w:rsidRPr="0093040D">
              <w:rPr>
                <w:rFonts w:cs="Arial"/>
                <w:color w:val="000000"/>
                <w:rtl/>
                <w:lang w:eastAsia="ar"/>
              </w:rPr>
              <w:t>6. تنظيف محامل العجل الأمامي وإعادة تعبئته</w:t>
            </w:r>
          </w:p>
        </w:tc>
      </w:tr>
      <w:tr w:rsidR="007A3E5C" w14:paraId="2B681FE9" w14:textId="77777777" w:rsidTr="005371F1">
        <w:tc>
          <w:tcPr>
            <w:tcW w:w="9355" w:type="dxa"/>
          </w:tcPr>
          <w:p w14:paraId="76B57C22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  <w:r w:rsidRPr="0093040D">
              <w:rPr>
                <w:rFonts w:cs="Arial"/>
                <w:color w:val="000000"/>
                <w:rtl/>
                <w:lang w:eastAsia="ar"/>
              </w:rPr>
              <w:t>7. تدوير الإطارات والأنابيب</w:t>
            </w:r>
          </w:p>
        </w:tc>
      </w:tr>
      <w:tr w:rsidR="007A3E5C" w14:paraId="247D5105" w14:textId="77777777" w:rsidTr="005371F1">
        <w:tc>
          <w:tcPr>
            <w:tcW w:w="9355" w:type="dxa"/>
          </w:tcPr>
          <w:p w14:paraId="549CF55A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08276FF5" w14:textId="77777777" w:rsidTr="005371F1">
        <w:tc>
          <w:tcPr>
            <w:tcW w:w="9355" w:type="dxa"/>
          </w:tcPr>
          <w:p w14:paraId="7699DFB1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25DD7330" w14:textId="77777777" w:rsidTr="005371F1">
        <w:tc>
          <w:tcPr>
            <w:tcW w:w="9355" w:type="dxa"/>
          </w:tcPr>
          <w:p w14:paraId="6BFEB7C8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6BEDF755" w14:textId="77777777" w:rsidTr="005371F1">
        <w:tc>
          <w:tcPr>
            <w:tcW w:w="9355" w:type="dxa"/>
          </w:tcPr>
          <w:p w14:paraId="3B98B1E8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</w:tbl>
    <w:p w14:paraId="233660DB" w14:textId="77777777" w:rsidR="007A3E5C" w:rsidRDefault="007A3E5C" w:rsidP="007A3E5C">
      <w:pPr>
        <w:bidi/>
        <w:contextualSpacing/>
        <w:jc w:val="left"/>
        <w:rPr>
          <w:b/>
          <w:bCs/>
        </w:rPr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A3E5C" w14:paraId="29A9FC21" w14:textId="77777777" w:rsidTr="005371F1">
        <w:tc>
          <w:tcPr>
            <w:tcW w:w="9355" w:type="dxa"/>
            <w:shd w:val="clear" w:color="auto" w:fill="C6D9F1" w:themeFill="text2" w:themeFillTint="33"/>
          </w:tcPr>
          <w:p w14:paraId="782E7777" w14:textId="77777777" w:rsidR="007A3E5C" w:rsidRPr="0093040D" w:rsidRDefault="007A3E5C" w:rsidP="005371F1">
            <w:pPr>
              <w:pStyle w:val="TableHeading"/>
              <w:bidi/>
              <w:rPr>
                <w:rFonts w:cs="Arial"/>
                <w:color w:val="000000"/>
              </w:rPr>
            </w:pPr>
            <w:r>
              <w:rPr>
                <w:rtl/>
                <w:lang w:eastAsia="ar"/>
              </w:rPr>
              <w:t xml:space="preserve">مركبات الدفع الرباعي 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– </w:t>
            </w:r>
            <w:r>
              <w:rPr>
                <w:rtl/>
                <w:lang w:eastAsia="ar"/>
              </w:rPr>
              <w:t xml:space="preserve">نوع الخدمة د 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– </w:t>
            </w:r>
            <w:r>
              <w:rPr>
                <w:rtl/>
                <w:lang w:eastAsia="ar"/>
              </w:rPr>
              <w:t xml:space="preserve">كل </w:t>
            </w:r>
            <w:r>
              <w:rPr>
                <w:rFonts w:ascii="Times New Roman"/>
                <w:b w:val="0"/>
                <w:rtl/>
                <w:lang w:eastAsia="ar"/>
              </w:rPr>
              <w:t>60</w:t>
            </w:r>
            <w:r>
              <w:rPr>
                <w:rtl/>
                <w:lang w:eastAsia="ar"/>
              </w:rPr>
              <w:t>,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000 </w:t>
            </w:r>
            <w:r>
              <w:rPr>
                <w:rtl/>
                <w:lang w:eastAsia="ar"/>
              </w:rPr>
              <w:t>كم</w:t>
            </w:r>
          </w:p>
        </w:tc>
      </w:tr>
      <w:tr w:rsidR="007A3E5C" w14:paraId="4BC44EA8" w14:textId="77777777" w:rsidTr="005371F1">
        <w:tc>
          <w:tcPr>
            <w:tcW w:w="9355" w:type="dxa"/>
          </w:tcPr>
          <w:p w14:paraId="793A470A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  <w:r w:rsidRPr="0093040D">
              <w:rPr>
                <w:rFonts w:cs="Arial"/>
                <w:color w:val="000000"/>
                <w:rtl/>
                <w:lang w:eastAsia="ar"/>
              </w:rPr>
              <w:t>النوع «ب» بالإضافة إلى:</w:t>
            </w:r>
          </w:p>
        </w:tc>
      </w:tr>
      <w:tr w:rsidR="007A3E5C" w14:paraId="39EA2510" w14:textId="77777777" w:rsidTr="005371F1">
        <w:tc>
          <w:tcPr>
            <w:tcW w:w="9355" w:type="dxa"/>
          </w:tcPr>
          <w:p w14:paraId="450A5EF8" w14:textId="77777777" w:rsidR="007A3E5C" w:rsidRPr="0093040D" w:rsidRDefault="007A3E5C" w:rsidP="007A3E5C">
            <w:pPr>
              <w:pStyle w:val="1NumBul"/>
              <w:numPr>
                <w:ilvl w:val="0"/>
                <w:numId w:val="9"/>
              </w:numPr>
              <w:bidi/>
            </w:pPr>
            <w:r w:rsidRPr="0093040D">
              <w:rPr>
                <w:rtl/>
                <w:lang w:eastAsia="ar"/>
              </w:rPr>
              <w:t>تصريف ودفق مبرّد المحرك وتجديده</w:t>
            </w:r>
          </w:p>
        </w:tc>
      </w:tr>
      <w:tr w:rsidR="007A3E5C" w14:paraId="241509A3" w14:textId="77777777" w:rsidTr="005371F1">
        <w:tc>
          <w:tcPr>
            <w:tcW w:w="9355" w:type="dxa"/>
          </w:tcPr>
          <w:p w14:paraId="669CAFE6" w14:textId="77777777" w:rsidR="007A3E5C" w:rsidRPr="0093040D" w:rsidRDefault="007A3E5C" w:rsidP="005371F1">
            <w:pPr>
              <w:pStyle w:val="1NumBul"/>
              <w:bidi/>
            </w:pPr>
            <w:r w:rsidRPr="0093040D">
              <w:rPr>
                <w:rtl/>
                <w:lang w:eastAsia="ar"/>
              </w:rPr>
              <w:t>تجديد سائل نظام التوجيه الكهربي</w:t>
            </w:r>
          </w:p>
        </w:tc>
      </w:tr>
      <w:tr w:rsidR="007A3E5C" w14:paraId="0DE904D6" w14:textId="77777777" w:rsidTr="005371F1">
        <w:tc>
          <w:tcPr>
            <w:tcW w:w="9355" w:type="dxa"/>
          </w:tcPr>
          <w:p w14:paraId="561F6816" w14:textId="77777777" w:rsidR="007A3E5C" w:rsidRPr="0093040D" w:rsidRDefault="007A3E5C" w:rsidP="005371F1">
            <w:pPr>
              <w:pStyle w:val="1NumBul"/>
              <w:bidi/>
            </w:pPr>
            <w:r w:rsidRPr="0093040D">
              <w:rPr>
                <w:rtl/>
                <w:lang w:eastAsia="ar"/>
              </w:rPr>
              <w:t>تصريف سائل المكابح وتجديده</w:t>
            </w:r>
          </w:p>
        </w:tc>
      </w:tr>
      <w:tr w:rsidR="007A3E5C" w14:paraId="12A9868C" w14:textId="77777777" w:rsidTr="005371F1">
        <w:tc>
          <w:tcPr>
            <w:tcW w:w="9355" w:type="dxa"/>
          </w:tcPr>
          <w:p w14:paraId="3F6B4E59" w14:textId="77777777" w:rsidR="007A3E5C" w:rsidRPr="0093040D" w:rsidRDefault="007A3E5C" w:rsidP="005371F1">
            <w:pPr>
              <w:pStyle w:val="1NumBul"/>
              <w:bidi/>
            </w:pPr>
            <w:r w:rsidRPr="0093040D">
              <w:rPr>
                <w:rtl/>
                <w:lang w:eastAsia="ar"/>
              </w:rPr>
              <w:t>تصريف سائل القابض وتجديده</w:t>
            </w:r>
          </w:p>
        </w:tc>
      </w:tr>
      <w:tr w:rsidR="007A3E5C" w14:paraId="433172E0" w14:textId="77777777" w:rsidTr="005371F1">
        <w:tc>
          <w:tcPr>
            <w:tcW w:w="9355" w:type="dxa"/>
          </w:tcPr>
          <w:p w14:paraId="0C9B7703" w14:textId="77777777" w:rsidR="007A3E5C" w:rsidRPr="0093040D" w:rsidRDefault="007A3E5C" w:rsidP="005371F1">
            <w:pPr>
              <w:pStyle w:val="1NumBul"/>
              <w:bidi/>
            </w:pPr>
            <w:r w:rsidRPr="0093040D">
              <w:rPr>
                <w:rtl/>
                <w:lang w:eastAsia="ar"/>
              </w:rPr>
              <w:t>التحقق من حالة الإطارات والأنانبيب، والإبلاغ عن وجود تلف إذا وُجد</w:t>
            </w:r>
          </w:p>
        </w:tc>
      </w:tr>
      <w:tr w:rsidR="007A3E5C" w14:paraId="2E5AC177" w14:textId="77777777" w:rsidTr="005371F1">
        <w:tc>
          <w:tcPr>
            <w:tcW w:w="9355" w:type="dxa"/>
          </w:tcPr>
          <w:p w14:paraId="5B10CB79" w14:textId="77777777" w:rsidR="007A3E5C" w:rsidRPr="0093040D" w:rsidRDefault="007A3E5C" w:rsidP="005371F1">
            <w:pPr>
              <w:pStyle w:val="1NumBul"/>
              <w:bidi/>
            </w:pPr>
            <w:r w:rsidRPr="0093040D">
              <w:rPr>
                <w:rtl/>
                <w:lang w:eastAsia="ar"/>
              </w:rPr>
              <w:t>التحقق من حالة امتصاص الصدمات، والإبلاغ عن وجود تلف إذا وُجد</w:t>
            </w:r>
          </w:p>
        </w:tc>
      </w:tr>
      <w:tr w:rsidR="007A3E5C" w14:paraId="67A8A350" w14:textId="77777777" w:rsidTr="005371F1">
        <w:tc>
          <w:tcPr>
            <w:tcW w:w="9355" w:type="dxa"/>
          </w:tcPr>
          <w:p w14:paraId="6ABCCA45" w14:textId="77777777" w:rsidR="007A3E5C" w:rsidRPr="0093040D" w:rsidRDefault="007A3E5C" w:rsidP="005371F1">
            <w:pPr>
              <w:pStyle w:val="1NumBul"/>
              <w:bidi/>
            </w:pPr>
            <w:r w:rsidRPr="0093040D">
              <w:rPr>
                <w:rtl/>
                <w:lang w:eastAsia="ar"/>
              </w:rPr>
              <w:t>التحقق من حالة محامل العجل، والإبلاغ عن وجود تلف إذا وُجد</w:t>
            </w:r>
          </w:p>
        </w:tc>
      </w:tr>
      <w:tr w:rsidR="007A3E5C" w14:paraId="26F9C316" w14:textId="77777777" w:rsidTr="005371F1">
        <w:tc>
          <w:tcPr>
            <w:tcW w:w="9355" w:type="dxa"/>
          </w:tcPr>
          <w:p w14:paraId="4B8E23A1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50A7D3EA" w14:textId="77777777" w:rsidTr="005371F1">
        <w:tc>
          <w:tcPr>
            <w:tcW w:w="9355" w:type="dxa"/>
          </w:tcPr>
          <w:p w14:paraId="56BDF689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3FEE42BA" w14:textId="77777777" w:rsidTr="005371F1">
        <w:tc>
          <w:tcPr>
            <w:tcW w:w="9355" w:type="dxa"/>
          </w:tcPr>
          <w:p w14:paraId="5179924C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5D237E0E" w14:textId="77777777" w:rsidTr="005371F1">
        <w:tc>
          <w:tcPr>
            <w:tcW w:w="9355" w:type="dxa"/>
          </w:tcPr>
          <w:p w14:paraId="3282C099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</w:tbl>
    <w:p w14:paraId="35A7BC13" w14:textId="77777777" w:rsidR="007A3E5C" w:rsidRDefault="007A3E5C" w:rsidP="007A3E5C">
      <w:pPr>
        <w:bidi/>
        <w:contextualSpacing/>
        <w:jc w:val="left"/>
        <w:rPr>
          <w:b/>
          <w:bCs/>
        </w:rPr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A3E5C" w14:paraId="7B6C175C" w14:textId="77777777" w:rsidTr="005371F1">
        <w:tc>
          <w:tcPr>
            <w:tcW w:w="9355" w:type="dxa"/>
            <w:shd w:val="clear" w:color="auto" w:fill="C6D9F1" w:themeFill="text2" w:themeFillTint="33"/>
          </w:tcPr>
          <w:p w14:paraId="7EE6E856" w14:textId="77777777" w:rsidR="007A3E5C" w:rsidRPr="0093040D" w:rsidRDefault="007A3E5C" w:rsidP="005371F1">
            <w:pPr>
              <w:pStyle w:val="TableHeading"/>
              <w:bidi/>
            </w:pPr>
            <w:r>
              <w:rPr>
                <w:rtl/>
                <w:lang w:eastAsia="ar"/>
              </w:rPr>
              <w:t xml:space="preserve">مركبات الدفع الرباعي 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– </w:t>
            </w:r>
            <w:r>
              <w:rPr>
                <w:rtl/>
                <w:lang w:eastAsia="ar"/>
              </w:rPr>
              <w:t xml:space="preserve">نوع الخدمة هـ 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– </w:t>
            </w:r>
            <w:r>
              <w:rPr>
                <w:rtl/>
                <w:lang w:eastAsia="ar"/>
              </w:rPr>
              <w:t xml:space="preserve">كل </w:t>
            </w:r>
            <w:r>
              <w:rPr>
                <w:rFonts w:ascii="Times New Roman"/>
                <w:b w:val="0"/>
                <w:rtl/>
                <w:lang w:eastAsia="ar"/>
              </w:rPr>
              <w:t>100</w:t>
            </w:r>
            <w:r>
              <w:rPr>
                <w:rtl/>
                <w:lang w:eastAsia="ar"/>
              </w:rPr>
              <w:t>,</w:t>
            </w:r>
            <w:r>
              <w:rPr>
                <w:rFonts w:ascii="Times New Roman"/>
                <w:b w:val="0"/>
                <w:rtl/>
                <w:lang w:eastAsia="ar"/>
              </w:rPr>
              <w:t xml:space="preserve">000 </w:t>
            </w:r>
            <w:r>
              <w:rPr>
                <w:rtl/>
                <w:lang w:eastAsia="ar"/>
              </w:rPr>
              <w:t>كم</w:t>
            </w:r>
          </w:p>
        </w:tc>
      </w:tr>
      <w:tr w:rsidR="007A3E5C" w14:paraId="4C2FD8A1" w14:textId="77777777" w:rsidTr="005371F1">
        <w:tc>
          <w:tcPr>
            <w:tcW w:w="9355" w:type="dxa"/>
          </w:tcPr>
          <w:p w14:paraId="7CC928D1" w14:textId="77777777" w:rsidR="007A3E5C" w:rsidRPr="0093040D" w:rsidRDefault="007A3E5C" w:rsidP="005371F1">
            <w:pPr>
              <w:pStyle w:val="TableText"/>
              <w:bidi/>
            </w:pPr>
            <w:r w:rsidRPr="0093040D">
              <w:rPr>
                <w:rtl/>
                <w:lang w:eastAsia="ar"/>
              </w:rPr>
              <w:t xml:space="preserve">النوع </w:t>
            </w:r>
            <w:r w:rsidRPr="0093040D">
              <w:rPr>
                <w:rFonts w:ascii="Times New Roman"/>
                <w:rtl/>
                <w:lang w:eastAsia="ar"/>
              </w:rPr>
              <w:t>«</w:t>
            </w:r>
            <w:r w:rsidRPr="0093040D">
              <w:rPr>
                <w:rtl/>
                <w:lang w:eastAsia="ar"/>
              </w:rPr>
              <w:t>ب</w:t>
            </w:r>
            <w:r w:rsidRPr="0093040D">
              <w:rPr>
                <w:rFonts w:ascii="Times New Roman"/>
                <w:rtl/>
                <w:lang w:eastAsia="ar"/>
              </w:rPr>
              <w:t xml:space="preserve">» </w:t>
            </w:r>
            <w:r w:rsidRPr="0093040D">
              <w:rPr>
                <w:rtl/>
                <w:lang w:eastAsia="ar"/>
              </w:rPr>
              <w:t>بالإضافة إلى</w:t>
            </w:r>
            <w:r w:rsidRPr="0093040D">
              <w:rPr>
                <w:rFonts w:ascii="Times New Roman"/>
                <w:rtl/>
                <w:lang w:eastAsia="ar"/>
              </w:rPr>
              <w:t>:</w:t>
            </w:r>
          </w:p>
        </w:tc>
      </w:tr>
      <w:tr w:rsidR="007A3E5C" w14:paraId="4192C7D7" w14:textId="77777777" w:rsidTr="005371F1">
        <w:tc>
          <w:tcPr>
            <w:tcW w:w="9355" w:type="dxa"/>
          </w:tcPr>
          <w:p w14:paraId="62967852" w14:textId="77777777" w:rsidR="007A3E5C" w:rsidRPr="0093040D" w:rsidRDefault="007A3E5C" w:rsidP="007A3E5C">
            <w:pPr>
              <w:pStyle w:val="1NumBul"/>
              <w:numPr>
                <w:ilvl w:val="0"/>
                <w:numId w:val="10"/>
              </w:numPr>
              <w:bidi/>
            </w:pPr>
            <w:r w:rsidRPr="0093040D">
              <w:rPr>
                <w:rtl/>
                <w:lang w:eastAsia="ar"/>
              </w:rPr>
              <w:t xml:space="preserve">تغيير فوهة محقن الوقود </w:t>
            </w:r>
          </w:p>
        </w:tc>
      </w:tr>
      <w:tr w:rsidR="007A3E5C" w14:paraId="7F842775" w14:textId="77777777" w:rsidTr="005371F1">
        <w:tc>
          <w:tcPr>
            <w:tcW w:w="9355" w:type="dxa"/>
          </w:tcPr>
          <w:p w14:paraId="37096C15" w14:textId="77777777" w:rsidR="007A3E5C" w:rsidRPr="0093040D" w:rsidRDefault="007A3E5C" w:rsidP="005371F1">
            <w:pPr>
              <w:pStyle w:val="1NumBul"/>
              <w:bidi/>
            </w:pPr>
            <w:r w:rsidRPr="0093040D">
              <w:rPr>
                <w:rtl/>
                <w:lang w:eastAsia="ar"/>
              </w:rPr>
              <w:t>تنظيف متنفس المحور</w:t>
            </w:r>
          </w:p>
        </w:tc>
      </w:tr>
      <w:tr w:rsidR="007A3E5C" w14:paraId="47A6655C" w14:textId="77777777" w:rsidTr="005371F1">
        <w:tc>
          <w:tcPr>
            <w:tcW w:w="9355" w:type="dxa"/>
          </w:tcPr>
          <w:p w14:paraId="0BEABECD" w14:textId="38CCD257" w:rsidR="007A3E5C" w:rsidRPr="0093040D" w:rsidRDefault="007A3E5C" w:rsidP="001A5D7C">
            <w:pPr>
              <w:pStyle w:val="1NumBul"/>
              <w:bidi/>
            </w:pPr>
            <w:r w:rsidRPr="0093040D">
              <w:rPr>
                <w:rtl/>
                <w:lang w:eastAsia="ar"/>
              </w:rPr>
              <w:t xml:space="preserve">استبدال </w:t>
            </w:r>
            <w:r w:rsidR="001A5D7C">
              <w:rPr>
                <w:rFonts w:hint="cs"/>
                <w:rtl/>
                <w:lang w:eastAsia="ar"/>
              </w:rPr>
              <w:t>سير</w:t>
            </w:r>
            <w:r w:rsidRPr="0093040D">
              <w:rPr>
                <w:rtl/>
                <w:lang w:eastAsia="ar"/>
              </w:rPr>
              <w:t xml:space="preserve"> </w:t>
            </w:r>
            <w:r w:rsidR="001A5D7C">
              <w:rPr>
                <w:rFonts w:hint="cs"/>
                <w:rtl/>
                <w:lang w:eastAsia="ar"/>
              </w:rPr>
              <w:t>توقيت الكامات</w:t>
            </w:r>
          </w:p>
        </w:tc>
      </w:tr>
      <w:tr w:rsidR="007A3E5C" w14:paraId="5EBBEE09" w14:textId="77777777" w:rsidTr="005371F1">
        <w:tc>
          <w:tcPr>
            <w:tcW w:w="9355" w:type="dxa"/>
          </w:tcPr>
          <w:p w14:paraId="558B5EAD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3D62C518" w14:textId="77777777" w:rsidTr="005371F1">
        <w:tc>
          <w:tcPr>
            <w:tcW w:w="9355" w:type="dxa"/>
          </w:tcPr>
          <w:p w14:paraId="6AA7AB47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794A7F06" w14:textId="77777777" w:rsidTr="005371F1">
        <w:tc>
          <w:tcPr>
            <w:tcW w:w="9355" w:type="dxa"/>
          </w:tcPr>
          <w:p w14:paraId="112FFEB1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  <w:color w:val="000000"/>
              </w:rPr>
            </w:pPr>
          </w:p>
        </w:tc>
      </w:tr>
      <w:tr w:rsidR="007A3E5C" w14:paraId="7B61A836" w14:textId="77777777" w:rsidTr="005371F1">
        <w:tc>
          <w:tcPr>
            <w:tcW w:w="9355" w:type="dxa"/>
          </w:tcPr>
          <w:p w14:paraId="39F80842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61A7479F" w14:textId="77777777" w:rsidTr="005371F1">
        <w:tc>
          <w:tcPr>
            <w:tcW w:w="9355" w:type="dxa"/>
          </w:tcPr>
          <w:p w14:paraId="6C7F1075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100E64CA" w14:textId="77777777" w:rsidTr="005371F1">
        <w:tc>
          <w:tcPr>
            <w:tcW w:w="9355" w:type="dxa"/>
          </w:tcPr>
          <w:p w14:paraId="697386FC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  <w:tr w:rsidR="007A3E5C" w14:paraId="33D10D8A" w14:textId="77777777" w:rsidTr="005371F1">
        <w:tc>
          <w:tcPr>
            <w:tcW w:w="9355" w:type="dxa"/>
          </w:tcPr>
          <w:p w14:paraId="133D5ACC" w14:textId="77777777" w:rsidR="007A3E5C" w:rsidRPr="0093040D" w:rsidRDefault="007A3E5C" w:rsidP="005371F1">
            <w:pPr>
              <w:bidi/>
              <w:contextualSpacing/>
              <w:jc w:val="left"/>
              <w:rPr>
                <w:rFonts w:cs="Arial"/>
              </w:rPr>
            </w:pPr>
          </w:p>
        </w:tc>
      </w:tr>
    </w:tbl>
    <w:p w14:paraId="76014145" w14:textId="77777777" w:rsidR="007A3E5C" w:rsidRDefault="007A3E5C" w:rsidP="007A3E5C">
      <w:pPr>
        <w:bidi/>
        <w:contextualSpacing/>
        <w:jc w:val="left"/>
        <w:rPr>
          <w:b/>
          <w:bCs/>
        </w:rPr>
      </w:pPr>
    </w:p>
    <w:p w14:paraId="2931E19D" w14:textId="77777777" w:rsidR="007A3E5C" w:rsidRDefault="007A3E5C" w:rsidP="007A3E5C">
      <w:pPr>
        <w:bidi/>
        <w:jc w:val="left"/>
        <w:rPr>
          <w:b/>
          <w:bCs/>
        </w:rPr>
      </w:pPr>
    </w:p>
    <w:p w14:paraId="3BF07632" w14:textId="44F77364" w:rsidR="00D9452E" w:rsidRDefault="00D9452E" w:rsidP="00E74A02">
      <w:pPr>
        <w:bidi/>
        <w:ind w:left="360"/>
      </w:pPr>
    </w:p>
    <w:sectPr w:rsidR="00D9452E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1438" w14:textId="77777777" w:rsidR="00C32CDA" w:rsidRDefault="00C32CDA">
      <w:r>
        <w:separator/>
      </w:r>
    </w:p>
    <w:p w14:paraId="48ECA8D8" w14:textId="77777777" w:rsidR="00C32CDA" w:rsidRDefault="00C32CDA"/>
  </w:endnote>
  <w:endnote w:type="continuationSeparator" w:id="0">
    <w:p w14:paraId="05A4C63C" w14:textId="77777777" w:rsidR="00C32CDA" w:rsidRDefault="00C32CDA">
      <w:r>
        <w:continuationSeparator/>
      </w:r>
    </w:p>
    <w:p w14:paraId="1D55910A" w14:textId="77777777" w:rsidR="00C32CDA" w:rsidRDefault="00C32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8534D8B" w:rsidR="009210BF" w:rsidRDefault="00C32CDA" w:rsidP="004126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835DD">
          <w:rPr>
            <w:rFonts w:ascii="Times New Roman" w:hAnsi="Times New Roman"/>
            <w:sz w:val="16"/>
            <w:szCs w:val="16"/>
          </w:rPr>
          <w:t>EOM-ZM0-TP-00009</w:t>
        </w:r>
        <w:r w:rsidR="00955BE3">
          <w:rPr>
            <w:rFonts w:ascii="Times New Roman" w:hAnsi="Times New Roman"/>
            <w:sz w:val="16"/>
            <w:szCs w:val="16"/>
          </w:rPr>
          <w:t>4</w:t>
        </w:r>
        <w:r w:rsidR="00663A16">
          <w:rPr>
            <w:rFonts w:ascii="Times New Roman" w:hAnsi="Times New Roman"/>
            <w:sz w:val="16"/>
            <w:szCs w:val="16"/>
          </w:rPr>
          <w:t>-AR</w:t>
        </w:r>
        <w:r w:rsidR="00A835DD">
          <w:rPr>
            <w:rFonts w:ascii="Times New Roman" w:hAnsi="Times New Roman"/>
            <w:sz w:val="16"/>
            <w:szCs w:val="16"/>
          </w:rPr>
          <w:t xml:space="preserve"> Rev 000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9210BF">
      <w:rPr>
        <w:rFonts w:ascii="Times New Roman"/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9210BF">
      <w:rPr>
        <w:rFonts w:ascii="Times New Roman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A5D7C">
      <w:rPr>
        <w:rFonts w:ascii="Times New Roman"/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A5D7C">
      <w:rPr>
        <w:rFonts w:ascii="Times New Roman"/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5BE9" w14:textId="77777777" w:rsidR="00C32CDA" w:rsidRDefault="00C32CDA">
      <w:r>
        <w:separator/>
      </w:r>
    </w:p>
    <w:p w14:paraId="187EDB0E" w14:textId="77777777" w:rsidR="00C32CDA" w:rsidRDefault="00C32CDA"/>
  </w:footnote>
  <w:footnote w:type="continuationSeparator" w:id="0">
    <w:p w14:paraId="6AD6EC30" w14:textId="77777777" w:rsidR="00C32CDA" w:rsidRDefault="00C32CDA">
      <w:r>
        <w:continuationSeparator/>
      </w:r>
    </w:p>
    <w:p w14:paraId="522FE180" w14:textId="77777777" w:rsidR="00C32CDA" w:rsidRDefault="00C32C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52E3E582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5D9B2E1D" w:rsidR="009210BF" w:rsidRPr="00A835DD" w:rsidRDefault="007A3E5C" w:rsidP="00454BFB">
          <w:pPr>
            <w:pStyle w:val="CPDocTitle"/>
            <w:bidi/>
            <w:rPr>
              <w:rFonts w:ascii="FS Albert Arabic" w:hAnsi="FS Albert Arabic" w:cs="FS Albert Arabic"/>
              <w:kern w:val="32"/>
              <w:sz w:val="24"/>
              <w:szCs w:val="24"/>
              <w:lang w:val="en-GB"/>
            </w:rPr>
          </w:pPr>
          <w:r w:rsidRPr="00A835DD">
            <w:rPr>
              <w:rFonts w:ascii="FS Albert Arabic" w:hAnsi="FS Albert Arabic" w:cs="FS Albert Arabic"/>
              <w:kern w:val="32"/>
              <w:sz w:val="24"/>
              <w:szCs w:val="24"/>
              <w:rtl/>
              <w:lang w:eastAsia="ar"/>
            </w:rPr>
            <w:t>قائمة التدقيق لأنشطة الصيانة الوقائية للرعاية الصحية</w:t>
          </w:r>
        </w:p>
      </w:tc>
    </w:tr>
  </w:tbl>
  <w:p w14:paraId="0FE4F66F" w14:textId="2544E8AD" w:rsidR="009210BF" w:rsidRPr="00AC1B11" w:rsidRDefault="00A835DD" w:rsidP="00AC1B11">
    <w:pPr>
      <w:pStyle w:val="Header"/>
      <w:bidi/>
    </w:pPr>
    <w:r w:rsidRPr="009A054C">
      <w:rPr>
        <w:b/>
        <w:noProof/>
        <w:lang w:eastAsia="en-US"/>
      </w:rPr>
      <w:drawing>
        <wp:anchor distT="0" distB="0" distL="114300" distR="114300" simplePos="0" relativeHeight="251659264" behindDoc="0" locked="0" layoutInCell="1" allowOverlap="1" wp14:anchorId="6CACA49C" wp14:editId="76141974">
          <wp:simplePos x="0" y="0"/>
          <wp:positionH relativeFrom="column">
            <wp:posOffset>-630555</wp:posOffset>
          </wp:positionH>
          <wp:positionV relativeFrom="paragraph">
            <wp:posOffset>-600710</wp:posOffset>
          </wp:positionV>
          <wp:extent cx="1332230" cy="582930"/>
          <wp:effectExtent l="0" t="0" r="0" b="0"/>
          <wp:wrapNone/>
          <wp:docPr id="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23C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5D7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62E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3A16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5BE3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35D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D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EC83F-ED70-45A3-B24A-91B6CD07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2772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EOM-ZM0-TP-000094-AR Rev 000</dc:subject>
  <dc:creator>Rivamonte, Leonnito (RMP)</dc:creator>
  <cp:keywords>ᅟ</cp:keywords>
  <cp:lastModifiedBy>جانسيل سالدانا  Jancil Saldhana</cp:lastModifiedBy>
  <cp:revision>50</cp:revision>
  <cp:lastPrinted>2017-10-17T10:11:00Z</cp:lastPrinted>
  <dcterms:created xsi:type="dcterms:W3CDTF">2019-12-16T06:44:00Z</dcterms:created>
  <dcterms:modified xsi:type="dcterms:W3CDTF">2021-12-22T08:45:00Z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